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II., stupeň/ Social work I and 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vedecký výstup / scientific </w:t>
            </w:r>
            <w:r>
              <w:rPr>
                <w:rFonts w:cstheme="minorHAnsi"/>
                <w:bCs/>
                <w:sz w:val="16"/>
              </w:rPr>
              <w:t>output</w:t>
            </w:r>
          </w:p>
          <w:p>
            <w:pPr>
              <w:pStyle w:val="Normlny1"/>
              <w:rPr>
                <w:rFonts w:ascii="Calibri" w:hAnsi="Calibri" w:cs="Calibri"/>
                <w:sz w:val="16"/>
                <w:szCs w:val="16"/>
              </w:rPr>
            </w:pPr>
          </w:p>
          <w:p>
            <w:pPr>
              <w:rPr>
                <w:sz w:val="16"/>
                <w:szCs w:val="16"/>
              </w:rPr>
            </w:pPr>
            <w:r>
              <w:rPr>
                <w:sz w:val="16"/>
                <w:szCs w:val="16"/>
              </w:rPr>
              <w:t>MLYNARČÍK, P.: Zodpovednosť a spoločenský problém humanity v myslení Josefa Tvrdého. In: Švihura, L., A. (ed.) Filozofické cesty z neistory – podoby zodpovednosti. SFZ pri SAV Bratislava 2022. s. 60-66. ISBN 978-80-973092-9-9, EAN 9788097309299</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2022</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p>
            <w:pPr>
              <w:rPr>
                <w:sz w:val="16"/>
                <w:szCs w:val="16"/>
              </w:rPr>
            </w:pPr>
            <w:r>
              <w:rPr>
                <w:sz w:val="16"/>
                <w:szCs w:val="16"/>
              </w:rPr>
              <w:t>ID: 1004160</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4"/>
                <w:szCs w:val="14"/>
                <w:lang w:eastAsia="sk-SK"/>
              </w:rPr>
              <w:t>https://app.crepc.sk/?fn=detailBiblioForm&amp;sid=3695A652D9372D379B4578AF52A9</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ind w:left="160" w:hangingChars="100" w:hanging="160"/>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spacing w:after="0"/>
              <w:rPr>
                <w:sz w:val="16"/>
                <w:szCs w:val="16"/>
              </w:rPr>
            </w:pPr>
          </w:p>
          <w:p>
            <w:pPr>
              <w:rPr>
                <w:sz w:val="16"/>
                <w:szCs w:val="16"/>
              </w:rPr>
            </w:pPr>
            <w:r>
              <w:rPr>
                <w:sz w:val="16"/>
                <w:szCs w:val="16"/>
              </w:rPr>
              <w:t>Zodpovednosť a spoločenský problém humanity v myslení Josefa Tvrdého / Mlynarčík, Peter [Autor, 100%] In: Filozofické cesty z neistoty – podoby zodpovednosti [textový dokument (print)] : zborník vedeckých príspevkov z výročnej medzinárodnej konferencie SFZ pri SAV / Švihura, Lukáš Arthur [Zostavovateľ, editor] ; Plašienková, Zlatica [Recenzent] ; Javorská, Andrea [Recenzent]. – 1. vyd. – Bratislava (Slovensko) : Slovenská akadémia vied. Pracoviská SAV. Slovenské filozofické združenie, 2022. – ISBN 978-80-973092-9-9, s. 60-66</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rPr>
                <w:sz w:val="16"/>
                <w:szCs w:val="16"/>
                <w:lang w:eastAsia="sk-SK"/>
              </w:rPr>
            </w:pPr>
          </w:p>
          <w:p>
            <w:pPr>
              <w:rPr>
                <w:sz w:val="6"/>
                <w:szCs w:val="6"/>
              </w:rPr>
            </w:pPr>
            <w:r>
              <w:rPr>
                <w:sz w:val="16"/>
                <w:szCs w:val="16"/>
                <w:lang w:eastAsia="sk-SK"/>
              </w:rPr>
              <w:t>http://www.sfz.sk/zborniky/2022_Filozoficke_cesty_z_neistoty-1.pdf</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Calibri" w:hAnsi="Calibri" w:cs="Calibri"/>
                <w:color w:val="000000"/>
                <w:sz w:val="16"/>
                <w:szCs w:val="16"/>
                <w:lang w:val="en-US"/>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rPr>
                <w:sz w:val="16"/>
                <w:szCs w:val="16"/>
                <w:lang w:val="en-US"/>
              </w:rPr>
            </w:pPr>
            <w:r>
              <w:rPr>
                <w:sz w:val="16"/>
                <w:szCs w:val="16"/>
                <w:lang w:val="en-US"/>
              </w:rPr>
              <w:t>The paper presents the crisis situation in Czechoslovakia before and during the Second World War through the thinking, social and philosophical response to it by Josef Tvrdy (1877-1942). By studying his notes, letters and works in preparation and publication, it tries to present the notion of humanity, which the author considered crucial in solving social problems in the context of the moral responsibility of the individual in society.</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spacing w:after="0"/>
              <w:rPr>
                <w:rFonts w:eastAsia="SimSun" w:cstheme="minorHAnsi"/>
                <w:color w:val="212529"/>
                <w:sz w:val="16"/>
                <w:szCs w:val="16"/>
                <w:shd w:val="clear" w:color="auto" w:fill="FFFFFF"/>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predstavuje krízovú situáciu v Československu pred a počas druhej svetovej vojny prostredníctvom </w:t>
            </w:r>
            <w:r>
              <w:rPr>
                <w:rFonts w:asciiTheme="minorHAnsi" w:hAnsiTheme="minorHAnsi" w:cstheme="minorHAnsi"/>
                <w:sz w:val="16"/>
                <w:szCs w:val="16"/>
              </w:rPr>
              <w:t>myslenia, spoločenskej a filozofickej reakcie na ňu Josefa Tvrdého (1877-1942).</w:t>
            </w:r>
            <w:r>
              <w:rPr>
                <w:rFonts w:ascii="Calibri" w:hAnsi="Calibri" w:cs="Calibri"/>
                <w:color w:val="000000"/>
                <w:sz w:val="16"/>
                <w:szCs w:val="16"/>
              </w:rPr>
              <w:t xml:space="preserve">  Tak podporuje upevňovanie povedomia ľudskej dôstojnosti a </w:t>
            </w:r>
            <w:r>
              <w:rPr>
                <w:rFonts w:asciiTheme="minorHAnsi" w:eastAsia="SimSun" w:hAnsiTheme="minorHAnsi" w:cstheme="minorHAnsi"/>
                <w:color w:val="212529"/>
                <w:sz w:val="16"/>
                <w:szCs w:val="16"/>
                <w:shd w:val="clear" w:color="auto" w:fill="FFFFFF"/>
              </w:rPr>
              <w:t>morálnej zodpovednosti jednotlivca v súčasnej spoločnosti</w:t>
            </w:r>
            <w:r>
              <w:rPr>
                <w:rFonts w:ascii="Calibri" w:hAnsi="Calibri" w:cs="Calibri"/>
                <w:color w:val="000000"/>
                <w:sz w:val="16"/>
                <w:szCs w:val="16"/>
              </w:rPr>
              <w:t xml:space="preserve">. / </w:t>
            </w:r>
            <w:r>
              <w:rPr>
                <w:rFonts w:ascii="Calibri" w:hAnsi="Calibri" w:cs="Calibri"/>
                <w:color w:val="000000"/>
                <w:sz w:val="16"/>
                <w:szCs w:val="16"/>
                <w:lang w:val="en-US"/>
              </w:rPr>
              <w:t>The outcome presents the crisis situation in Czechoslovakia before and during the Second World War through the thought, social and philosophical response to it of Josef Tvrdý (1877-1942).  In this way, it promotes the consolidation of awareness of human dignity and the moral responsibility of the individual in contemporary society.</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themeColor="text1"/>
                <w:sz w:val="16"/>
                <w:szCs w:val="16"/>
              </w:rPr>
            </w:pPr>
            <w:r>
              <w:rPr>
                <w:rFonts w:ascii="Calibri" w:hAnsi="Calibri" w:cs="Calibri"/>
                <w:color w:val="000000"/>
                <w:sz w:val="16"/>
                <w:szCs w:val="16"/>
              </w:rPr>
              <w:t xml:space="preserve">Výstup poukazuje na </w:t>
            </w:r>
            <w:r>
              <w:rPr>
                <w:rFonts w:ascii="Calibri" w:hAnsi="Calibri" w:cs="Calibri"/>
                <w:color w:val="000000" w:themeColor="text1"/>
                <w:sz w:val="16"/>
                <w:szCs w:val="16"/>
              </w:rPr>
              <w:t xml:space="preserve">potrebu </w:t>
            </w:r>
            <w:r>
              <w:rPr>
                <w:rFonts w:ascii="Calibri" w:hAnsi="Calibri" w:cs="Calibri"/>
                <w:color w:val="000000"/>
                <w:sz w:val="16"/>
                <w:szCs w:val="16"/>
              </w:rPr>
              <w:t xml:space="preserve">upevňovania povedomia ľudskej dôstojnosti a </w:t>
            </w:r>
            <w:r>
              <w:rPr>
                <w:rFonts w:asciiTheme="minorHAnsi" w:eastAsia="SimSun" w:hAnsiTheme="minorHAnsi" w:cstheme="minorHAnsi"/>
                <w:color w:val="212529"/>
                <w:sz w:val="16"/>
                <w:szCs w:val="16"/>
                <w:shd w:val="clear" w:color="auto" w:fill="FFFFFF"/>
              </w:rPr>
              <w:t>morálnej zodpovednosti jednotlivca v súčasnej spoločnosti</w:t>
            </w:r>
            <w:r>
              <w:rPr>
                <w:rFonts w:ascii="Calibri" w:hAnsi="Calibri" w:cs="Calibri"/>
                <w:color w:val="000000"/>
                <w:sz w:val="16"/>
                <w:szCs w:val="16"/>
              </w:rPr>
              <w:t xml:space="preserve">. Tým vytvára motivačné predpoklady aby študenti pristupovali k riešeniu sociálnych problémov v súčasnej kríze spoločnosti humánne a zodpovedne. Obsah  výstupu prezentuje niektoré modely postupu aplikované v predmetoch: Etika v sociálnej práci, Základy filozofie, Teória a základy sociálnej práce, Teória sociálnej práce, Sociálne náuka cirkvi. </w:t>
            </w:r>
            <w:r>
              <w:rPr>
                <w:rFonts w:ascii="Calibri" w:hAnsi="Calibri"/>
                <w:color w:val="000000"/>
                <w:sz w:val="16"/>
                <w:szCs w:val="16"/>
              </w:rPr>
              <w:t xml:space="preserve">/ </w:t>
            </w:r>
            <w:r>
              <w:rPr>
                <w:rFonts w:ascii="Calibri" w:hAnsi="Calibri" w:cs="Calibri"/>
                <w:color w:val="000000"/>
                <w:sz w:val="16"/>
                <w:szCs w:val="16"/>
              </w:rPr>
              <w:t xml:space="preserve">/ </w:t>
            </w:r>
            <w:r>
              <w:rPr>
                <w:rFonts w:ascii="Calibri" w:hAnsi="Calibri" w:cs="Calibri"/>
                <w:color w:val="202124"/>
                <w:sz w:val="16"/>
                <w:szCs w:val="16"/>
                <w:shd w:val="clear" w:color="auto" w:fill="F8F9FA"/>
                <w:lang w:val="en-US"/>
              </w:rPr>
              <w:t>The outcome highlights the need to strengthen the awareness of human dignity and moral responsibility of the individual in contemporary society. In this way it creates motivational conditions for students to approach the solution of social problems in the current crisis of society in a humane and responsible way. The content of the outcome presents some models of practice applied in the courses Ethics in Social Work, Foundations of Philosophy, Theory and Foundations of Social Work, Theory of Social Work, Social Doctrine of the Church.</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customStyle="1" w:styleId="Nadpis2Char">
    <w:name w:val="Nadpis 2 Char"/>
    <w:basedOn w:val="Predvolenpsmoodseku"/>
    <w:link w:val="Nadpis2"/>
    <w:uiPriority w:val="9"/>
    <w:semiHidden/>
    <w:rPr>
      <w:rFonts w:asciiTheme="majorHAnsi" w:eastAsiaTheme="majorEastAsia" w:hAnsiTheme="majorHAnsi" w:cstheme="majorBidi"/>
      <w:color w:val="2F5496" w:themeColor="accent1" w:themeShade="BF"/>
      <w:sz w:val="26"/>
      <w:szCs w:val="26"/>
      <w:lang w:eastAsia="en-US" w:bidi="ar-SA"/>
    </w:rPr>
  </w:style>
  <w:style w:type="character" w:styleId="Siln">
    <w:name w:val="Strong"/>
    <w:basedOn w:val="Predvolenpsmoodsek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89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1339</Words>
  <Characters>7637</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2024-02-12T09:30:00Z</dcterms:created>
  <dcterms:modified xsi:type="dcterms:W3CDTF">2024-02-12T09:30:00Z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